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91335" w14:textId="3B01E681"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1#89</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170</w:t>
      </w:r>
      <w:r w:rsidR="0015565E">
        <w:rPr>
          <w:bCs/>
          <w:noProof w:val="0"/>
          <w:sz w:val="24"/>
          <w:lang w:val="en-GB" w:eastAsia="ja-JP"/>
        </w:rPr>
        <w:t>8529</w:t>
      </w:r>
    </w:p>
    <w:bookmarkEnd w:id="0"/>
    <w:bookmarkEnd w:id="1"/>
    <w:p w14:paraId="01F28238" w14:textId="77777777" w:rsidR="002F1B64" w:rsidRPr="00461210" w:rsidRDefault="002F1B64" w:rsidP="002F1B64">
      <w:pPr>
        <w:pStyle w:val="Header"/>
        <w:tabs>
          <w:tab w:val="right" w:pos="9639"/>
        </w:tabs>
        <w:rPr>
          <w:bCs/>
          <w:noProof w:val="0"/>
          <w:sz w:val="24"/>
          <w:lang w:val="en-GB"/>
        </w:rPr>
      </w:pPr>
      <w:r>
        <w:rPr>
          <w:noProof w:val="0"/>
          <w:sz w:val="24"/>
          <w:lang w:val="en-GB"/>
        </w:rPr>
        <w:t>Hangzhou, P.R. China, May 15-19</w:t>
      </w:r>
      <w:r>
        <w:rPr>
          <w:bCs/>
          <w:sz w:val="24"/>
        </w:rPr>
        <w:t xml:space="preserve">, </w:t>
      </w:r>
      <w:r w:rsidRPr="00235B77">
        <w:rPr>
          <w:bCs/>
          <w:sz w:val="24"/>
        </w:rPr>
        <w:t>201</w:t>
      </w:r>
      <w:r>
        <w:rPr>
          <w:bCs/>
          <w:sz w:val="24"/>
        </w:rPr>
        <w:t>7</w:t>
      </w:r>
    </w:p>
    <w:p w14:paraId="4F7A4707" w14:textId="77777777" w:rsidR="002F1B64" w:rsidRPr="007B7496" w:rsidRDefault="002F1B64" w:rsidP="002F1B64">
      <w:pPr>
        <w:pStyle w:val="Header"/>
        <w:rPr>
          <w:bCs/>
          <w:noProof w:val="0"/>
          <w:sz w:val="24"/>
          <w:lang w:val="en-GB" w:eastAsia="ja-JP"/>
        </w:rPr>
      </w:pPr>
    </w:p>
    <w:p w14:paraId="2103C997" w14:textId="77777777"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7.1.3.3.4</w:t>
      </w:r>
    </w:p>
    <w:p w14:paraId="29595B81" w14:textId="77777777"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64183FCC" w14:textId="3714B1B9"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3B87" w:rsidRPr="00DA3B87">
        <w:rPr>
          <w:rFonts w:ascii="Arial" w:hAnsi="Arial" w:cs="Arial"/>
          <w:b/>
          <w:bCs/>
          <w:sz w:val="24"/>
        </w:rPr>
        <w:t>On the number of HARQ processes</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628FD5CB" w14:textId="77777777"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p>
    <w:p w14:paraId="4309A8FC" w14:textId="00C8937C"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3B49EEBA" w14:textId="77777777"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66FA31DE"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2758018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763F060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6AD856D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088998BC" w14:textId="77777777" w:rsidR="00B32D52" w:rsidRPr="00A12B8F" w:rsidRDefault="00B32D52" w:rsidP="00B32D52">
      <w:pPr>
        <w:overflowPunct/>
        <w:autoSpaceDE/>
        <w:autoSpaceDN/>
        <w:adjustRightInd/>
        <w:spacing w:after="0"/>
        <w:ind w:left="720"/>
        <w:textAlignment w:val="auto"/>
        <w:rPr>
          <w:rFonts w:eastAsia="MS Mincho"/>
          <w:sz w:val="12"/>
          <w:lang w:val="en-US" w:eastAsia="ja-JP"/>
        </w:rPr>
      </w:pPr>
    </w:p>
    <w:p w14:paraId="21B5112E"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3A60E3FC"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3216FEF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373FD0A0"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263358E0" w14:textId="2BCC3DFB" w:rsidR="00B32D52"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77777777" w:rsidR="004B23AD" w:rsidRDefault="008D4B8A" w:rsidP="004B23AD">
      <w:pPr>
        <w:pStyle w:val="Heading1"/>
      </w:pPr>
      <w:r>
        <w:rPr>
          <w:color w:val="000000"/>
        </w:rPr>
        <w:t>2</w:t>
      </w:r>
      <w:r w:rsidR="004B23AD" w:rsidRPr="00A51522">
        <w:rPr>
          <w:color w:val="000000"/>
        </w:rPr>
        <w:tab/>
      </w:r>
      <w:r w:rsidR="00DC129F">
        <w:t>Discussion</w:t>
      </w:r>
    </w:p>
    <w:p w14:paraId="6C8F2CFD" w14:textId="77777777" w:rsidR="00E541B0" w:rsidRPr="006276B8"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Pr>
          <w:sz w:val="28"/>
        </w:rPr>
        <w:t>Configurable number of HARQ processes</w:t>
      </w:r>
    </w:p>
    <w:p w14:paraId="4BBDC96A" w14:textId="41E08E4F" w:rsidR="00E541B0" w:rsidRDefault="00E541B0" w:rsidP="00E541B0">
      <w:pPr>
        <w:jc w:val="both"/>
      </w:pPr>
      <w:r w:rsidRPr="000B7095">
        <w:t>A minimum number of HARQ processes is needed to keep the channel utilized continuously. This number is affected directly by the HARQ RTT</w:t>
      </w:r>
      <w:r>
        <w:t>.</w:t>
      </w:r>
      <w:r w:rsidRPr="000B7095">
        <w:t xml:space="preserve"> The number of HARQ processes has impact on the </w:t>
      </w:r>
      <w:r w:rsidR="00204FCD">
        <w:t>appropriate</w:t>
      </w:r>
      <w:r w:rsidRPr="000B7095">
        <w:t xml:space="preserve"> soft buffer size of the communicating nodes. </w:t>
      </w:r>
      <w:r>
        <w:t>The HARQ RTT in 5G NR can potentially undergo wide variance due to factors such as agreed support for multiple TTI sizes, non-uniform fronthaul latencies, ability to flexibly choose transmission direction (in case of dynamic TDD), flexible frame structure, non-uniform processing latencies, CoMP operation [</w:t>
      </w:r>
      <w:r w:rsidR="00F1452C">
        <w:t>3</w:t>
      </w:r>
      <w:r>
        <w:t>], [</w:t>
      </w:r>
      <w:r w:rsidR="00F1452C">
        <w:t>4</w:t>
      </w:r>
      <w:r>
        <w:t>]</w:t>
      </w:r>
      <w:r w:rsidR="00F1452C">
        <w:t>, etc. Please refer to [5</w:t>
      </w:r>
      <w:r>
        <w:t>] for details. Such round trip time (RTT) variations can potentially leave 5G NR prone to HARQ stalling. Therefore there is a need to allow for at</w:t>
      </w:r>
      <w:r w:rsidR="00204FCD">
        <w:t xml:space="preserve"> </w:t>
      </w:r>
      <w:r>
        <w:t xml:space="preserve">least a semi-static configurability of the number of HARQ processes per cell/carrier in NR. </w:t>
      </w:r>
    </w:p>
    <w:p w14:paraId="4AE4C9BD" w14:textId="19B08401" w:rsidR="00E541B0" w:rsidRDefault="00E541B0" w:rsidP="00E541B0">
      <w:pPr>
        <w:spacing w:after="20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w:t>
      </w:r>
      <w:r w:rsidR="00F64AFE">
        <w:rPr>
          <w:i/>
          <w:lang w:val="en-US"/>
        </w:rPr>
        <w:t>cesses per cell/carrier is</w:t>
      </w:r>
      <w:r w:rsidRPr="00E541B0">
        <w:rPr>
          <w:i/>
          <w:lang w:val="en-US"/>
        </w:rPr>
        <w:t xml:space="preserve"> configurable semi-statically in order to support different deployment scenarios.</w:t>
      </w:r>
    </w:p>
    <w:p w14:paraId="461C3685" w14:textId="5049F8E2" w:rsidR="00DF3F71" w:rsidRDefault="00DF3F71" w:rsidP="00DF3F71">
      <w:pPr>
        <w:rPr>
          <w:rFonts w:eastAsia="MS Mincho"/>
          <w:lang w:eastAsia="ja-JP"/>
        </w:rPr>
      </w:pPr>
      <w:r>
        <w:rPr>
          <w:rFonts w:eastAsia="MS Mincho"/>
          <w:lang w:eastAsia="ja-JP"/>
        </w:rPr>
        <w:lastRenderedPageBreak/>
        <w:t>The maximum number of HARQ processes to be supported by the specification as well as what is expected from different UEs need to be defined in RAN1. However, wh</w:t>
      </w:r>
      <w:r w:rsidR="00DA3B87">
        <w:rPr>
          <w:rFonts w:eastAsia="MS Mincho"/>
          <w:lang w:eastAsia="ja-JP"/>
        </w:rPr>
        <w:t>en it</w:t>
      </w:r>
      <w:r>
        <w:rPr>
          <w:rFonts w:eastAsia="MS Mincho"/>
          <w:lang w:eastAsia="ja-JP"/>
        </w:rPr>
        <w:t xml:space="preserve"> comes to the UE HARQ soft buffer, there does not need to be a linear relationship between the supported number of HARQ processes and the total soft buffer size. The number of HARQ processes would affect the soft buffer size for each process assuming a fixed, static split of the total soft buffer size, but some more smart and dynamic soft-buffer usage may be considered for NR UEs. In any case, it is not expected that the actual value of number of HARQ processes would affect the mechanism for soft buffer management. In this sense, the </w:t>
      </w:r>
      <w:r w:rsidR="00204FCD">
        <w:rPr>
          <w:rFonts w:eastAsia="MS Mincho"/>
          <w:lang w:eastAsia="ja-JP"/>
        </w:rPr>
        <w:t>number of HARQ processes</w:t>
      </w:r>
      <w:r>
        <w:rPr>
          <w:rFonts w:eastAsia="MS Mincho"/>
          <w:lang w:eastAsia="ja-JP"/>
        </w:rPr>
        <w:t xml:space="preserve"> may not have immediate impact on the RAN1 specifications beyond the DCI field size.</w:t>
      </w:r>
    </w:p>
    <w:p w14:paraId="43646482" w14:textId="77777777" w:rsidR="00DF3F71" w:rsidRDefault="00DF3F71" w:rsidP="00DF3F71">
      <w:pPr>
        <w:rPr>
          <w:rFonts w:eastAsia="MS Mincho"/>
          <w:lang w:eastAsia="ja-JP"/>
        </w:rPr>
      </w:pPr>
      <w:r>
        <w:rPr>
          <w:rFonts w:eastAsia="MS Mincho"/>
          <w:lang w:eastAsia="ja-JP"/>
        </w:rPr>
        <w:t>A possible way to ensure that all UEs are able to operate in all deployments is to define the maximum number of HARQ processes as a fixed, common value for all UE types expected to support mobile broadband services (i.e. NB-IoT type UEs can be seen as a separate case), but the supported soft combining capability or possibly the supported data rates might be related to how many HARQ processes are actually configured to a UE. The maximum number of HARQ processes should be determined based on the UE processing time, the gNB processing time, data transmission duration, propagation delay, fronthaul/backhaul delay, etc. The value should be able to cover all the use cases with the possible exception of some extreme use cases.</w:t>
      </w:r>
    </w:p>
    <w:p w14:paraId="64DF30AF" w14:textId="29B2C011" w:rsidR="00DF3F71" w:rsidRDefault="00DF3F71" w:rsidP="00DF3F71">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sidR="00D41072">
        <w:rPr>
          <w:i/>
          <w:lang w:val="en-US"/>
        </w:rPr>
        <w:t xml:space="preserve">per carrier </w:t>
      </w:r>
      <w:r>
        <w:rPr>
          <w:i/>
          <w:lang w:val="en-US"/>
        </w:rPr>
        <w:t>is common to all UEs capable of supporting mobile broadband services</w:t>
      </w:r>
      <w:r w:rsidR="00BC1998">
        <w:rPr>
          <w:i/>
          <w:lang w:val="en-US"/>
        </w:rPr>
        <w:t>, and the value is fixed in the specification</w:t>
      </w:r>
      <w:r>
        <w:rPr>
          <w:i/>
          <w:lang w:val="en-US"/>
        </w:rPr>
        <w:t>.</w:t>
      </w:r>
    </w:p>
    <w:p w14:paraId="615B95FE" w14:textId="77777777" w:rsidR="00DF3F71" w:rsidRPr="00D513E3" w:rsidRDefault="00DF3F71" w:rsidP="00DF3F71">
      <w:pPr>
        <w:pStyle w:val="Heading2"/>
        <w:rPr>
          <w:sz w:val="28"/>
          <w:lang w:eastAsia="zh-CN"/>
        </w:rPr>
      </w:pPr>
      <w:r w:rsidRPr="006276B8">
        <w:rPr>
          <w:sz w:val="28"/>
          <w:lang w:eastAsia="zh-CN"/>
        </w:rPr>
        <w:t>2.</w:t>
      </w:r>
      <w:r>
        <w:rPr>
          <w:sz w:val="28"/>
          <w:lang w:eastAsia="zh-CN"/>
        </w:rPr>
        <w:t>2</w:t>
      </w:r>
      <w:r>
        <w:rPr>
          <w:sz w:val="28"/>
          <w:lang w:eastAsia="zh-CN"/>
        </w:rPr>
        <w:tab/>
        <w:t>UE soft buffer relation to number of HARQ processes</w:t>
      </w:r>
    </w:p>
    <w:p w14:paraId="11962B1C" w14:textId="11D526BE" w:rsidR="00DF3F71" w:rsidRDefault="00DF3F71" w:rsidP="00DF3F71">
      <w:pPr>
        <w:rPr>
          <w:rFonts w:eastAsia="MS Mincho"/>
          <w:lang w:val="en-US" w:eastAsia="ja-JP"/>
        </w:rPr>
      </w:pPr>
      <w:r>
        <w:rPr>
          <w:rFonts w:eastAsia="MS Mincho"/>
          <w:lang w:val="en-US" w:eastAsia="ja-JP"/>
        </w:rPr>
        <w:t xml:space="preserve">Assuming that the supported maximum number of HARQ processes is not a UE capability, but a fixed number common to all ‘typical’ </w:t>
      </w:r>
      <w:r w:rsidR="00204FCD">
        <w:rPr>
          <w:rFonts w:eastAsia="MS Mincho"/>
          <w:lang w:val="en-US" w:eastAsia="ja-JP"/>
        </w:rPr>
        <w:t xml:space="preserve">eMBB </w:t>
      </w:r>
      <w:r>
        <w:rPr>
          <w:rFonts w:eastAsia="MS Mincho"/>
          <w:lang w:val="en-US" w:eastAsia="ja-JP"/>
        </w:rPr>
        <w:t xml:space="preserve">UEs, </w:t>
      </w:r>
      <w:r w:rsidR="00204FCD">
        <w:rPr>
          <w:rFonts w:eastAsia="MS Mincho"/>
          <w:lang w:val="en-US" w:eastAsia="ja-JP"/>
        </w:rPr>
        <w:t xml:space="preserve">there should still be the possibility for </w:t>
      </w:r>
      <w:r>
        <w:rPr>
          <w:rFonts w:eastAsia="MS Mincho"/>
          <w:lang w:val="en-US" w:eastAsia="ja-JP"/>
        </w:rPr>
        <w:t xml:space="preserve">implementation differentiation (peak data rate, soft buffer size, etc) for different cost/performance points </w:t>
      </w:r>
      <w:r w:rsidR="00204FCD">
        <w:rPr>
          <w:rFonts w:eastAsia="MS Mincho"/>
          <w:lang w:val="en-US" w:eastAsia="ja-JP"/>
        </w:rPr>
        <w:t xml:space="preserve">and different </w:t>
      </w:r>
      <w:r>
        <w:rPr>
          <w:rFonts w:eastAsia="MS Mincho"/>
          <w:lang w:val="en-US" w:eastAsia="ja-JP"/>
        </w:rPr>
        <w:t>UE soft buffer handling should be allowed for different UEs. This would mean either that the UE’s supported peak data rate is reduced when a larger number of HARQ processes is configured to it</w:t>
      </w:r>
      <w:r w:rsidR="00204FCD">
        <w:rPr>
          <w:rFonts w:eastAsia="MS Mincho"/>
          <w:lang w:val="en-US" w:eastAsia="ja-JP"/>
        </w:rPr>
        <w:t xml:space="preserve"> for a given soft-buffer size</w:t>
      </w:r>
      <w:r>
        <w:rPr>
          <w:rFonts w:eastAsia="MS Mincho"/>
          <w:lang w:val="en-US" w:eastAsia="ja-JP"/>
        </w:rPr>
        <w:t xml:space="preserve">, or ideally that the HARQ soft combining </w:t>
      </w:r>
      <w:r w:rsidR="00204FCD">
        <w:rPr>
          <w:rFonts w:eastAsia="MS Mincho"/>
          <w:lang w:val="en-US" w:eastAsia="ja-JP"/>
        </w:rPr>
        <w:t>operation</w:t>
      </w:r>
      <w:r>
        <w:rPr>
          <w:rFonts w:eastAsia="MS Mincho"/>
          <w:lang w:val="en-US" w:eastAsia="ja-JP"/>
        </w:rPr>
        <w:t xml:space="preserve"> (UE’s ability to store soft bits) could be different when high data rates with large number of configured HARQ processes is used.</w:t>
      </w:r>
    </w:p>
    <w:p w14:paraId="490091FC" w14:textId="77777777" w:rsidR="00DF3F71" w:rsidRDefault="00DF3F71" w:rsidP="00DF3F71">
      <w:pPr>
        <w:rPr>
          <w:rFonts w:eastAsia="MS Mincho"/>
          <w:lang w:val="en-US" w:eastAsia="ja-JP"/>
        </w:rPr>
      </w:pPr>
      <w:r>
        <w:rPr>
          <w:rFonts w:eastAsia="MS Mincho"/>
          <w:lang w:val="en-US" w:eastAsia="ja-JP"/>
        </w:rPr>
        <w:t xml:space="preserve">Depending on the UE implementation constraints, it may be possible to pool the UE HARQ soft buffer and use it dynamically for a HARQ process failing to decode, as opposed to dedicating fixed soft buffer </w:t>
      </w:r>
      <w:r w:rsidR="00204FCD">
        <w:rPr>
          <w:rFonts w:eastAsia="MS Mincho"/>
          <w:lang w:val="en-US" w:eastAsia="ja-JP"/>
        </w:rPr>
        <w:t xml:space="preserve">partitioning </w:t>
      </w:r>
      <w:r>
        <w:rPr>
          <w:rFonts w:eastAsia="MS Mincho"/>
          <w:lang w:val="en-US" w:eastAsia="ja-JP"/>
        </w:rPr>
        <w:t>for each configured HARQ process. In this case, the UE’s peak rate would not need to be a function of number of HARQ processes, but its ability to soft combine could be reduced when a burst of consecutive decoding failures for high data rate transmission attempts occur.</w:t>
      </w:r>
    </w:p>
    <w:p w14:paraId="35ED4EF5" w14:textId="40DDE585" w:rsidR="00204FCD" w:rsidRDefault="00D41072" w:rsidP="00DF3F71">
      <w:pPr>
        <w:rPr>
          <w:rFonts w:eastAsia="MS Mincho"/>
          <w:lang w:val="en-US" w:eastAsia="ja-JP"/>
        </w:rPr>
      </w:pPr>
      <w:r>
        <w:rPr>
          <w:rFonts w:eastAsia="MS Mincho"/>
          <w:lang w:val="en-US" w:eastAsia="ja-JP"/>
        </w:rPr>
        <w:t>Moreover, t</w:t>
      </w:r>
      <w:r w:rsidR="00204FCD">
        <w:rPr>
          <w:rFonts w:eastAsia="MS Mincho"/>
          <w:lang w:val="en-US" w:eastAsia="ja-JP"/>
        </w:rPr>
        <w:t xml:space="preserve">he traditional fixed soft-buffer split </w:t>
      </w:r>
      <w:r w:rsidR="00BC1998">
        <w:rPr>
          <w:rFonts w:eastAsia="MS Mincho"/>
          <w:lang w:val="en-US" w:eastAsia="ja-JP"/>
        </w:rPr>
        <w:t xml:space="preserve">among </w:t>
      </w:r>
      <w:r>
        <w:rPr>
          <w:rFonts w:eastAsia="MS Mincho"/>
          <w:lang w:val="en-US" w:eastAsia="ja-JP"/>
        </w:rPr>
        <w:t xml:space="preserve">HARQ processes as done e.g. for LTE carrier aggregation would not be feasible for NR anyhow. While in case of LTE each carrier is limited to 20MHz/100PRBs and having a fixed number of PDSCH symbols, the situation for NR is very much different as we have to consider a rather large variation in the carrier bandwidths, varying SCS, varying PDSCH durations. This leads to a large variation of the TB sizes between HARQ processes from </w:t>
      </w:r>
      <w:r w:rsidR="00BC1998">
        <w:rPr>
          <w:rFonts w:eastAsia="MS Mincho"/>
          <w:lang w:val="en-US" w:eastAsia="ja-JP"/>
        </w:rPr>
        <w:t xml:space="preserve">a </w:t>
      </w:r>
      <w:r>
        <w:rPr>
          <w:rFonts w:eastAsia="MS Mincho"/>
          <w:lang w:val="en-US" w:eastAsia="ja-JP"/>
        </w:rPr>
        <w:t xml:space="preserve">single UE point of view even if each of them is scheduled with the DL peak data rate. Therefore, some more flexible UE soft-buffer management in the UE will be needed to cope with such TB size variations. </w:t>
      </w:r>
    </w:p>
    <w:p w14:paraId="6BFAE1BF" w14:textId="77777777" w:rsidR="00DF3F71" w:rsidRDefault="00DF3F71" w:rsidP="00DF3F71">
      <w:pPr>
        <w:rPr>
          <w:rFonts w:eastAsia="MS Mincho"/>
          <w:lang w:eastAsia="ja-JP"/>
        </w:rPr>
      </w:pPr>
      <w:r>
        <w:rPr>
          <w:rFonts w:eastAsia="MS Mincho"/>
          <w:lang w:eastAsia="ja-JP"/>
        </w:rPr>
        <w:t>The soft-buffer dimensioning needs to take the peak data rate and a reasonable number of HARQ processes into account so that the UE would be able to handle bursty errors due to deteriorating link conditions even with high data rates when a typical number of HARQ process is configured to it, but this dimensioning would not need to take the maximum supported HARQ processes into account, as long as HARQ combining is still possible with full HARQ process configuration as well, even if it is not necessarily possible with the max TB size for all processes at the same time.</w:t>
      </w:r>
    </w:p>
    <w:p w14:paraId="12B346F0" w14:textId="77777777" w:rsidR="00DF3F71" w:rsidRDefault="00DF3F71" w:rsidP="00DF3F71">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Assume that the UEs are able to dynamically allocate soft buffer memory to HARQ processes on a need basis</w:t>
      </w:r>
    </w:p>
    <w:p w14:paraId="02B5240E" w14:textId="4B82DB6D" w:rsidR="00DF3F71" w:rsidRDefault="00DF3F71" w:rsidP="00DF3F71">
      <w:pPr>
        <w:spacing w:after="200" w:line="276" w:lineRule="auto"/>
        <w:jc w:val="both"/>
        <w:rPr>
          <w:i/>
          <w:lang w:val="en-US"/>
        </w:rPr>
      </w:pPr>
      <w:r>
        <w:rPr>
          <w:b/>
          <w:bCs/>
          <w:lang w:val="en-US"/>
        </w:rPr>
        <w:t>Proposal #4</w:t>
      </w:r>
      <w:r w:rsidRPr="00E541B0">
        <w:rPr>
          <w:b/>
          <w:bCs/>
          <w:lang w:val="en-US"/>
        </w:rPr>
        <w:t xml:space="preserve">: </w:t>
      </w:r>
      <w:r>
        <w:rPr>
          <w:i/>
          <w:lang w:val="en-US"/>
        </w:rPr>
        <w:t>T</w:t>
      </w:r>
      <w:r w:rsidRPr="00E541B0">
        <w:rPr>
          <w:i/>
          <w:lang w:val="en-US"/>
        </w:rPr>
        <w:t xml:space="preserve">he </w:t>
      </w:r>
      <w:r w:rsidR="00CD6E97">
        <w:rPr>
          <w:i/>
          <w:lang w:val="en-US"/>
        </w:rPr>
        <w:t>maximum TB size</w:t>
      </w:r>
      <w:r w:rsidR="00CD6E97" w:rsidRPr="00CD6E97">
        <w:rPr>
          <w:i/>
          <w:lang w:val="en-US"/>
        </w:rPr>
        <w:t xml:space="preserve"> the UE </w:t>
      </w:r>
      <w:r w:rsidR="00CD6E97">
        <w:rPr>
          <w:i/>
          <w:lang w:val="en-US"/>
        </w:rPr>
        <w:t>can be transmitted with</w:t>
      </w:r>
      <w:r w:rsidR="00CD6E97" w:rsidRPr="00CD6E97">
        <w:rPr>
          <w:i/>
          <w:lang w:val="en-US"/>
        </w:rPr>
        <w:t xml:space="preserve"> is the same regardless of the number of configured HARQ processes</w:t>
      </w:r>
    </w:p>
    <w:p w14:paraId="30A1DFEC" w14:textId="1BBAFCFB" w:rsidR="00F811DE" w:rsidRDefault="00DF3F71"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w:t>
      </w:r>
      <w:r w:rsidR="00204FCD">
        <w:rPr>
          <w:i/>
          <w:lang w:val="en-US"/>
        </w:rPr>
        <w:t xml:space="preserve"> and the UE is scheduled continuously with (clos</w:t>
      </w:r>
      <w:r w:rsidR="00B06C50">
        <w:rPr>
          <w:i/>
          <w:lang w:val="en-US"/>
        </w:rPr>
        <w:t>e</w:t>
      </w:r>
      <w:r w:rsidR="00204FCD">
        <w:rPr>
          <w:i/>
          <w:lang w:val="en-US"/>
        </w:rPr>
        <w:t xml:space="preserve"> to) peak data rate</w:t>
      </w:r>
    </w:p>
    <w:p w14:paraId="6F87DE9B" w14:textId="77777777" w:rsidR="002D2190" w:rsidRPr="00F64AFE" w:rsidRDefault="002D2190" w:rsidP="00F64AFE">
      <w:pPr>
        <w:spacing w:after="200" w:line="276" w:lineRule="auto"/>
        <w:jc w:val="both"/>
        <w:rPr>
          <w:i/>
          <w:lang w:val="en-US"/>
        </w:rPr>
      </w:pPr>
    </w:p>
    <w:p w14:paraId="4D1833FB" w14:textId="3C292009" w:rsidR="0034111C" w:rsidRDefault="00864DD5">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2AB8B6A7" w14:textId="60EEB8FD" w:rsidR="00F64AFE" w:rsidRDefault="00F64AFE" w:rsidP="00F64AFE">
      <w:pPr>
        <w:spacing w:after="200" w:line="276" w:lineRule="auto"/>
        <w:jc w:val="both"/>
        <w:rPr>
          <w:i/>
          <w:lang w:val="en-US"/>
        </w:rPr>
      </w:pPr>
      <w:r w:rsidRPr="00E541B0">
        <w:rPr>
          <w:b/>
          <w:bCs/>
          <w:lang w:val="en-US"/>
        </w:rPr>
        <w:t xml:space="preserve">Proposal </w:t>
      </w:r>
      <w:r>
        <w:rPr>
          <w:b/>
          <w:bCs/>
          <w:lang w:val="en-US"/>
        </w:rPr>
        <w:t>#</w:t>
      </w:r>
      <w:r w:rsidRPr="00E541B0">
        <w:rPr>
          <w:b/>
          <w:bCs/>
          <w:lang w:val="en-US"/>
        </w:rPr>
        <w:t xml:space="preserve">1: </w:t>
      </w:r>
      <w:r w:rsidRPr="00E541B0">
        <w:rPr>
          <w:i/>
          <w:lang w:val="en-US"/>
        </w:rPr>
        <w:t>The number of HARQ pro</w:t>
      </w:r>
      <w:r>
        <w:rPr>
          <w:i/>
          <w:lang w:val="en-US"/>
        </w:rPr>
        <w:t>cesses per cell/carrier is</w:t>
      </w:r>
      <w:r w:rsidRPr="00E541B0">
        <w:rPr>
          <w:i/>
          <w:lang w:val="en-US"/>
        </w:rPr>
        <w:t xml:space="preserve"> configurable semi-statically in order to support different deployment scenarios.</w:t>
      </w:r>
    </w:p>
    <w:p w14:paraId="2BBB0DE8" w14:textId="1DCDA46F" w:rsidR="00F64AFE" w:rsidRDefault="00F64AFE" w:rsidP="00F64AFE">
      <w:pPr>
        <w:spacing w:after="200" w:line="276" w:lineRule="auto"/>
        <w:jc w:val="both"/>
        <w:rPr>
          <w:i/>
          <w:lang w:val="en-US"/>
        </w:rPr>
      </w:pPr>
      <w:r w:rsidRPr="00E541B0">
        <w:rPr>
          <w:b/>
          <w:bCs/>
          <w:lang w:val="en-US"/>
        </w:rPr>
        <w:t xml:space="preserve">Proposal </w:t>
      </w:r>
      <w:r>
        <w:rPr>
          <w:b/>
          <w:bCs/>
          <w:lang w:val="en-US"/>
        </w:rPr>
        <w:t>#2</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is common to all UEs capable of supporting mobile broadband services</w:t>
      </w:r>
      <w:r w:rsidR="00CD6E97">
        <w:rPr>
          <w:i/>
          <w:lang w:val="en-US"/>
        </w:rPr>
        <w:t>, and the value is fixed in the specification</w:t>
      </w:r>
      <w:r>
        <w:rPr>
          <w:i/>
          <w:lang w:val="en-US"/>
        </w:rPr>
        <w:t>.</w:t>
      </w:r>
    </w:p>
    <w:p w14:paraId="6248C9CC" w14:textId="77777777" w:rsidR="00F64AFE" w:rsidRDefault="00F64AFE" w:rsidP="00F64AFE">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Pr>
          <w:i/>
          <w:lang w:val="en-US"/>
        </w:rPr>
        <w:t>Assume that the UEs are able to dynamically allocate soft buffer memory to HARQ processes on a need basis</w:t>
      </w:r>
    </w:p>
    <w:p w14:paraId="0B9A3CA1" w14:textId="77777777" w:rsidR="002D2190" w:rsidRDefault="00F64AFE" w:rsidP="00F64AFE">
      <w:pPr>
        <w:spacing w:after="200" w:line="276" w:lineRule="auto"/>
        <w:jc w:val="both"/>
        <w:rPr>
          <w:b/>
          <w:bCs/>
          <w:lang w:val="en-US"/>
        </w:rPr>
      </w:pPr>
      <w:r>
        <w:rPr>
          <w:b/>
          <w:bCs/>
          <w:lang w:val="en-US"/>
        </w:rPr>
        <w:t>Proposal #4</w:t>
      </w:r>
      <w:r w:rsidRPr="00E541B0">
        <w:rPr>
          <w:b/>
          <w:bCs/>
          <w:lang w:val="en-US"/>
        </w:rPr>
        <w:t xml:space="preserve">: </w:t>
      </w:r>
      <w:r w:rsidR="002D2190">
        <w:rPr>
          <w:i/>
          <w:lang w:val="en-US"/>
        </w:rPr>
        <w:t>T</w:t>
      </w:r>
      <w:r w:rsidR="002D2190" w:rsidRPr="00E541B0">
        <w:rPr>
          <w:i/>
          <w:lang w:val="en-US"/>
        </w:rPr>
        <w:t xml:space="preserve">he </w:t>
      </w:r>
      <w:r w:rsidR="002D2190">
        <w:rPr>
          <w:i/>
          <w:lang w:val="en-US"/>
        </w:rPr>
        <w:t>maximum TB size</w:t>
      </w:r>
      <w:r w:rsidR="002D2190" w:rsidRPr="00CD6E97">
        <w:rPr>
          <w:i/>
          <w:lang w:val="en-US"/>
        </w:rPr>
        <w:t xml:space="preserve"> the UE </w:t>
      </w:r>
      <w:r w:rsidR="002D2190">
        <w:rPr>
          <w:i/>
          <w:lang w:val="en-US"/>
        </w:rPr>
        <w:t>can be transmitted with</w:t>
      </w:r>
      <w:r w:rsidR="002D2190" w:rsidRPr="00CD6E97">
        <w:rPr>
          <w:i/>
          <w:lang w:val="en-US"/>
        </w:rPr>
        <w:t xml:space="preserve"> is the same regardless of the number of configured HARQ processes</w:t>
      </w:r>
      <w:r w:rsidR="002D2190" w:rsidRPr="00E541B0">
        <w:rPr>
          <w:b/>
          <w:bCs/>
          <w:lang w:val="en-US"/>
        </w:rPr>
        <w:t xml:space="preserve"> </w:t>
      </w:r>
    </w:p>
    <w:p w14:paraId="576A7934" w14:textId="246731EC" w:rsidR="00F64AFE" w:rsidRDefault="00F64AFE"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 and the UE is scheduled continuously with (close to) peak data rate</w:t>
      </w:r>
    </w:p>
    <w:p w14:paraId="25F2E6AE" w14:textId="77777777" w:rsidR="002D2190" w:rsidRPr="00F64AFE" w:rsidRDefault="002D2190" w:rsidP="00F64AFE">
      <w:pPr>
        <w:spacing w:after="200" w:line="276" w:lineRule="auto"/>
        <w:jc w:val="both"/>
        <w:rPr>
          <w:i/>
          <w:lang w:val="en-US"/>
        </w:rPr>
      </w:pPr>
      <w:bookmarkStart w:id="5" w:name="_GoBack"/>
      <w:bookmarkEnd w:id="5"/>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1F7D3FDB" w14:textId="77777777" w:rsidR="00170389" w:rsidRDefault="006351BE" w:rsidP="006F0914">
      <w:pPr>
        <w:numPr>
          <w:ilvl w:val="0"/>
          <w:numId w:val="1"/>
        </w:numPr>
        <w:spacing w:after="120"/>
        <w:rPr>
          <w:sz w:val="18"/>
        </w:rPr>
      </w:pPr>
      <w:r w:rsidRPr="006351BE">
        <w:rPr>
          <w:sz w:val="18"/>
        </w:rPr>
        <w:t>R1-167264</w:t>
      </w:r>
      <w:r w:rsidR="00170389" w:rsidRPr="00E74F79">
        <w:rPr>
          <w:sz w:val="18"/>
        </w:rPr>
        <w:t>,</w:t>
      </w:r>
      <w:r w:rsidR="00170389" w:rsidRPr="00013455">
        <w:rPr>
          <w:sz w:val="18"/>
        </w:rPr>
        <w:t xml:space="preserve"> “</w:t>
      </w:r>
      <w:r w:rsidR="00170389" w:rsidRPr="00013455">
        <w:rPr>
          <w:i/>
          <w:sz w:val="18"/>
        </w:rPr>
        <w:t>Main compo</w:t>
      </w:r>
      <w:r w:rsidR="00452B14">
        <w:rPr>
          <w:i/>
          <w:sz w:val="18"/>
        </w:rPr>
        <w:t>nen</w:t>
      </w:r>
      <w:r w:rsidR="00170389" w:rsidRPr="00013455">
        <w:rPr>
          <w:i/>
          <w:sz w:val="18"/>
        </w:rPr>
        <w:t>ts for forward compatible frame structure design in NR</w:t>
      </w:r>
      <w:r w:rsidR="00170389" w:rsidRPr="00013455">
        <w:rPr>
          <w:sz w:val="18"/>
        </w:rPr>
        <w:t>”, Nokia, Alcatel-Lucent Shanghai Bell</w:t>
      </w:r>
    </w:p>
    <w:p w14:paraId="2307857C" w14:textId="77777777" w:rsidR="00390AC1" w:rsidRPr="00390AC1" w:rsidRDefault="00390AC1" w:rsidP="006F0914">
      <w:pPr>
        <w:numPr>
          <w:ilvl w:val="0"/>
          <w:numId w:val="1"/>
        </w:numPr>
        <w:spacing w:after="120"/>
        <w:rPr>
          <w:sz w:val="18"/>
        </w:rPr>
      </w:pPr>
      <w:r w:rsidRPr="00390AC1">
        <w:rPr>
          <w:sz w:val="18"/>
        </w:rPr>
        <w:t>R1-1701147, "</w:t>
      </w:r>
      <w:r w:rsidRPr="00390AC1">
        <w:rPr>
          <w:i/>
          <w:sz w:val="18"/>
        </w:rPr>
        <w:t>Dynamic TDD interference mitigation concepts in NR</w:t>
      </w:r>
      <w:r w:rsidRPr="00390AC1">
        <w:rPr>
          <w:sz w:val="18"/>
        </w:rPr>
        <w:t>"</w:t>
      </w:r>
      <w:r>
        <w:rPr>
          <w:sz w:val="18"/>
        </w:rPr>
        <w:t>,</w:t>
      </w:r>
      <w:r w:rsidRPr="00390AC1">
        <w:rPr>
          <w:sz w:val="18"/>
        </w:rPr>
        <w:t xml:space="preserve"> Nokia, Alcatel-Lucent Shanghai Bell, January 2017</w:t>
      </w:r>
    </w:p>
    <w:p w14:paraId="7298A01D" w14:textId="77777777" w:rsidR="00390AC1" w:rsidRPr="00390AC1" w:rsidRDefault="00390AC1" w:rsidP="006F0914">
      <w:pPr>
        <w:numPr>
          <w:ilvl w:val="0"/>
          <w:numId w:val="1"/>
        </w:numPr>
        <w:spacing w:after="120"/>
        <w:rPr>
          <w:sz w:val="18"/>
        </w:rPr>
      </w:pPr>
      <w:r w:rsidRPr="00390AC1">
        <w:rPr>
          <w:sz w:val="18"/>
        </w:rPr>
        <w:t>R1-1701074, "</w:t>
      </w:r>
      <w:r w:rsidRPr="00390AC1">
        <w:rPr>
          <w:i/>
          <w:sz w:val="18"/>
        </w:rPr>
        <w:t>High-level principles for beam coordination and link adaptation in NR</w:t>
      </w:r>
      <w:r w:rsidRPr="00390AC1">
        <w:rPr>
          <w:sz w:val="18"/>
        </w:rPr>
        <w:t>"</w:t>
      </w:r>
      <w:r>
        <w:rPr>
          <w:sz w:val="18"/>
        </w:rPr>
        <w:t>,</w:t>
      </w:r>
      <w:r w:rsidRPr="00390AC1">
        <w:rPr>
          <w:sz w:val="18"/>
        </w:rPr>
        <w:t xml:space="preserve"> Nokia, Alcatel-Lucent Shanghai Bell, January 2017</w:t>
      </w:r>
    </w:p>
    <w:sectPr w:rsidR="00390AC1" w:rsidRPr="00390AC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4EF9E" w14:textId="77777777" w:rsidR="00C9782E" w:rsidRDefault="00C9782E">
      <w:r>
        <w:separator/>
      </w:r>
    </w:p>
  </w:endnote>
  <w:endnote w:type="continuationSeparator" w:id="0">
    <w:p w14:paraId="1C466CDD" w14:textId="77777777" w:rsidR="00C9782E" w:rsidRDefault="00C9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ECF21" w14:textId="77777777" w:rsidR="00C9782E" w:rsidRDefault="00C9782E">
      <w:r>
        <w:separator/>
      </w:r>
    </w:p>
  </w:footnote>
  <w:footnote w:type="continuationSeparator" w:id="0">
    <w:p w14:paraId="1A3C7501" w14:textId="77777777" w:rsidR="00C9782E" w:rsidRDefault="00C97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6"/>
  </w:num>
  <w:num w:numId="6">
    <w:abstractNumId w:val="8"/>
  </w:num>
  <w:num w:numId="7">
    <w:abstractNumId w:val="24"/>
  </w:num>
  <w:num w:numId="8">
    <w:abstractNumId w:val="20"/>
  </w:num>
  <w:num w:numId="9">
    <w:abstractNumId w:val="25"/>
  </w:num>
  <w:num w:numId="10">
    <w:abstractNumId w:val="15"/>
  </w:num>
  <w:num w:numId="11">
    <w:abstractNumId w:val="0"/>
  </w:num>
  <w:num w:numId="12">
    <w:abstractNumId w:val="11"/>
  </w:num>
  <w:num w:numId="13">
    <w:abstractNumId w:val="16"/>
  </w:num>
  <w:num w:numId="14">
    <w:abstractNumId w:val="5"/>
  </w:num>
  <w:num w:numId="15">
    <w:abstractNumId w:val="22"/>
  </w:num>
  <w:num w:numId="16">
    <w:abstractNumId w:val="18"/>
  </w:num>
  <w:num w:numId="17">
    <w:abstractNumId w:val="14"/>
  </w:num>
  <w:num w:numId="18">
    <w:abstractNumId w:val="28"/>
  </w:num>
  <w:num w:numId="19">
    <w:abstractNumId w:val="7"/>
  </w:num>
  <w:num w:numId="20">
    <w:abstractNumId w:val="21"/>
  </w:num>
  <w:num w:numId="21">
    <w:abstractNumId w:val="6"/>
  </w:num>
  <w:num w:numId="22">
    <w:abstractNumId w:val="19"/>
  </w:num>
  <w:num w:numId="23">
    <w:abstractNumId w:val="17"/>
  </w:num>
  <w:num w:numId="24">
    <w:abstractNumId w:val="1"/>
  </w:num>
  <w:num w:numId="25">
    <w:abstractNumId w:val="23"/>
  </w:num>
  <w:num w:numId="26">
    <w:abstractNumId w:val="9"/>
  </w:num>
  <w:num w:numId="27">
    <w:abstractNumId w:val="2"/>
  </w:num>
  <w:num w:numId="28">
    <w:abstractNumId w:val="3"/>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SP-5AIRPNAIUNRU-1830940522-940</_dlc_DocId>
    <_dlc_DocIdUrl xmlns="71c5aaf6-e6ce-465b-b873-5148d2a4c105">
      <Url>https://nokia.sharepoint.com/sites/c5g/5gradio/_layouts/15/DocIdRedir.aspx?ID=SP-5AIRPNAIUNRU-1830940522-940</Url>
      <Description>SP-5AIRPNAIUNRU-1830940522-940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4254352-24C8-456E-851B-66037D622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2247CCDC-9680-4B26-8C7D-B9875379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3</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2016-09-26T06:54:00Z</cp:lastPrinted>
  <dcterms:created xsi:type="dcterms:W3CDTF">2017-05-05T18:25:00Z</dcterms:created>
  <dcterms:modified xsi:type="dcterms:W3CDTF">2017-05-05T18:36:00Z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8476f58f-dc53-4472-b3de-ade8b7fc1de8</vt:lpwstr>
  </property>
</Properties>
</file>